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17191" w14:textId="2C7DCA94" w:rsidR="002D1D16" w:rsidRPr="009531F1" w:rsidRDefault="009531F1" w:rsidP="009531F1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531F1">
        <w:rPr>
          <w:rFonts w:ascii="Times New Roman" w:hAnsi="Times New Roman" w:cs="Times New Roman"/>
          <w:sz w:val="28"/>
          <w:szCs w:val="28"/>
          <w:lang w:val="en-US"/>
        </w:rPr>
        <w:t>Семинар</w:t>
      </w:r>
      <w:proofErr w:type="spellEnd"/>
    </w:p>
    <w:p w14:paraId="58146A98" w14:textId="77777777" w:rsidR="009531F1" w:rsidRPr="009531F1" w:rsidRDefault="000C70A9" w:rsidP="009531F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«44-ФЗ «О контрактной системе в сфере закупок товаров, работ, услуг для обеспечения государственных и муниципальных нужд».</w:t>
      </w:r>
    </w:p>
    <w:p w14:paraId="11E2001B" w14:textId="77777777" w:rsidR="009531F1" w:rsidRPr="009531F1" w:rsidRDefault="000C70A9" w:rsidP="009531F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и практика применения.</w:t>
      </w:r>
      <w:r w:rsidR="009531F1" w:rsidRPr="00953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2DC0F77" w14:textId="0C0FB135" w:rsidR="009531F1" w:rsidRPr="004939B3" w:rsidRDefault="000C70A9" w:rsidP="004939B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 проведения электронных аукционов на ЭТП ZakazRf.ru»</w:t>
      </w:r>
    </w:p>
    <w:p w14:paraId="375966F0" w14:textId="5F0A7EFF" w:rsidR="00C6694A" w:rsidRPr="009531F1" w:rsidRDefault="000C70A9" w:rsidP="000C70A9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Казань</w:t>
      </w:r>
    </w:p>
    <w:p w14:paraId="23657AE9" w14:textId="77777777" w:rsidR="000C70A9" w:rsidRPr="009531F1" w:rsidRDefault="000C70A9" w:rsidP="000C70A9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НОУ ДПО "РИТЦ-</w:t>
      </w:r>
      <w:proofErr w:type="spellStart"/>
      <w:r w:rsidRPr="0095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ПрофСтандарт</w:t>
      </w:r>
      <w:proofErr w:type="spellEnd"/>
      <w:r w:rsidRPr="0095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</w:t>
      </w:r>
    </w:p>
    <w:p w14:paraId="7425AD98" w14:textId="733C41B3" w:rsidR="000C70A9" w:rsidRPr="009531F1" w:rsidRDefault="000C70A9" w:rsidP="00F76DA7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(ул. Волгоградская д.34)</w:t>
      </w:r>
    </w:p>
    <w:p w14:paraId="21BE4017" w14:textId="235AA995" w:rsidR="000C70A9" w:rsidRDefault="000C70A9" w:rsidP="000C70A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день</w:t>
      </w:r>
    </w:p>
    <w:p w14:paraId="5917C09E" w14:textId="77777777" w:rsidR="00F76DA7" w:rsidRPr="000C70A9" w:rsidRDefault="00F76DA7" w:rsidP="000C70A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2D1D16" w:rsidRPr="00315F67" w14:paraId="7DE519D5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9A87" w14:textId="77777777" w:rsidR="002D1D16" w:rsidRPr="00315F67" w:rsidRDefault="002D1D16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FF6A0" w14:textId="77777777" w:rsidR="002D1D16" w:rsidRPr="00315F67" w:rsidRDefault="002D1D16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семинара</w:t>
            </w:r>
          </w:p>
        </w:tc>
      </w:tr>
      <w:tr w:rsidR="002D1D16" w:rsidRPr="00315F67" w14:paraId="77484C21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D0C0B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10.00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3F203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Регистрация участников семинара</w:t>
            </w:r>
          </w:p>
        </w:tc>
      </w:tr>
      <w:tr w:rsidR="002D1D16" w:rsidRPr="00315F67" w14:paraId="49CA13E8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958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– 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E72DF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Контрактная система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(КС)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РФ: </w:t>
            </w:r>
          </w:p>
          <w:p w14:paraId="2909C781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КС, структура закона, сфера действия, субъекты регулирования, информационное обеспечение.</w:t>
            </w:r>
          </w:p>
          <w:p w14:paraId="77376851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44-ФЗ с 223-ФЗ, иными законами, регулирующими закупки заказчиков, и подзаконными нормативно-правовыми актами.</w:t>
            </w:r>
          </w:p>
          <w:p w14:paraId="23A9DE11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Хронология вступления в силу 44-ФЗ. </w:t>
            </w:r>
          </w:p>
          <w:p w14:paraId="46B908B8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произошедших и готовящихся изменений КС.</w:t>
            </w:r>
          </w:p>
          <w:p w14:paraId="43904CD1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Изменения в 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организации 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заказчика: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1DFBCD4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 и контрактная служба, требования к комиссии.</w:t>
            </w:r>
          </w:p>
          <w:p w14:paraId="4F5BCEC2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закупок (новые требования к содержанию планов-графиков, планы закупок, сроки публикации, исключения). Обоснование закупок. Нормирование в сфере закупок. </w:t>
            </w:r>
          </w:p>
          <w:p w14:paraId="1017B5BB" w14:textId="77777777" w:rsidR="002D1D16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(максимальная) цена контракта (НМЦК) – методы определения НМЦК и их использование.</w:t>
            </w:r>
          </w:p>
          <w:p w14:paraId="78A384D2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требования к осуществлению закупок в рамках 44-ФЗ</w:t>
            </w:r>
          </w:p>
          <w:p w14:paraId="342B6DD7" w14:textId="77777777" w:rsidR="00245170" w:rsidRPr="00F44D70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определения поставщика</w:t>
            </w:r>
          </w:p>
          <w:p w14:paraId="0121AD32" w14:textId="77777777" w:rsidR="00245170" w:rsidRPr="00F44D70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Извещение и документация о закупке. Требования к описанию предмета закупки («техническому заданию», «ТЗ»). Использование товарных знаков, требования антимонопольного законодательства. Разбор примеров из практики, а также возможных ошибок заказчиков и поставщиков.</w:t>
            </w:r>
          </w:p>
          <w:p w14:paraId="03FE13B6" w14:textId="4AAC1BEE" w:rsidR="00245170" w:rsidRPr="00F44D70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Единые и дополнительные требования к участникам закупок. Подтверждение участником соответствия данным требованиям, случаи выставления требований заказчиком.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 РФ </w:t>
            </w:r>
            <w:r w:rsidR="00A81FD0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№99 от 04.02.2015 года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1FD0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установлении дополнительных требований к участникам закупки отдельных видов това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ров, работ, услуг ..."</w:t>
            </w:r>
          </w:p>
          <w:p w14:paraId="4546D79A" w14:textId="77777777" w:rsidR="00245170" w:rsidRPr="00315F67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Реестры недобросовестных поставщиков (РНП). Основания, процедура  и последствия включения участника в РНП. Примеры из практики ФАС.</w:t>
            </w:r>
          </w:p>
        </w:tc>
      </w:tr>
      <w:tr w:rsidR="002D1D16" w:rsidRPr="00315F67" w14:paraId="2BAD31B7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A8784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C3CB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2D1D16" w:rsidRPr="00315F67" w14:paraId="10CF5C3F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13B2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561D1" w14:textId="77777777" w:rsidR="00245170" w:rsidRPr="00F44D70" w:rsidRDefault="00245170" w:rsidP="0024517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требования к осуществлению закупок в рамках 44-ФЗ (продолжение)</w:t>
            </w:r>
          </w:p>
          <w:p w14:paraId="289653B6" w14:textId="2733DE3A" w:rsidR="00245170" w:rsidRPr="00A81FD0" w:rsidRDefault="00245170" w:rsidP="00A81FD0">
            <w:pPr>
              <w:pStyle w:val="ab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обеспечению заявки на участие в закупке и к обеспечению исполнения контракта. Безотзывная банковская гарантия.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1FD0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 199 от 6.03.2015г. "О случаях и условиях, при которых в 2015 году заказчик вправе не устанавливать требование обеспечения исполнения контракта ..."</w:t>
            </w:r>
          </w:p>
          <w:p w14:paraId="2A163D38" w14:textId="77777777" w:rsidR="00245170" w:rsidRPr="00F44D70" w:rsidRDefault="00245170" w:rsidP="00245170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Антидемпинговые меры. Подтверждение добросовестности поставщиков.</w:t>
            </w:r>
          </w:p>
          <w:p w14:paraId="13047A4F" w14:textId="77777777" w:rsidR="00DF0896" w:rsidRDefault="00245170" w:rsidP="00A81FD0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Преимущества для отдельных участников закупок: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 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 РФ </w:t>
            </w:r>
            <w:r w:rsidR="00DF0896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№238 от 17.03.2015г. "О порядке подготовки отчета об объеме закупок у субъектов малого предпринимательства и социально ориентированных некоммер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 организаций...".</w:t>
            </w:r>
          </w:p>
          <w:p w14:paraId="0BE12C0B" w14:textId="5550B04D" w:rsidR="00A81FD0" w:rsidRPr="00DF0896" w:rsidRDefault="00245170" w:rsidP="00DF089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Преференции и ограничения в рамках национального режима, в том числе запреты на поставку иностранных товаров.</w:t>
            </w:r>
            <w:r w:rsidR="00DF0896">
              <w:t xml:space="preserve"> 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</w:t>
            </w:r>
            <w:r w:rsidR="00DF0896" w:rsidRP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№102 от 05.02.2015г. "Об установлении ограничения допуска отдельных видов медицинских изделий, происходящих из </w:t>
            </w:r>
            <w:proofErr w:type="spellStart"/>
            <w:r w:rsidR="00DF0896" w:rsidRP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иностраных</w:t>
            </w:r>
            <w:proofErr w:type="spellEnd"/>
            <w:r w:rsidR="00DF0896" w:rsidRP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государств, для целей осуществления закупок для обеспечения государственных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муниципальных нужд"</w:t>
            </w:r>
          </w:p>
          <w:p w14:paraId="33F5D2A8" w14:textId="77777777" w:rsidR="00DF0896" w:rsidRDefault="00245170" w:rsidP="00245170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Случаи и последствия признания определения поставщик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несостоявшимся.</w:t>
            </w:r>
          </w:p>
          <w:p w14:paraId="1D04C3A8" w14:textId="77777777" w:rsidR="00DF0896" w:rsidRDefault="00245170" w:rsidP="00DF089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заключения контракта с единственным поставщиком.</w:t>
            </w:r>
          </w:p>
          <w:p w14:paraId="5B3A4C06" w14:textId="5AD2C3F2" w:rsidR="002D1D16" w:rsidRPr="00DF0896" w:rsidRDefault="00245170" w:rsidP="00DF089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Переговоры между заказчиком и поставщиком, законные способы взаимодействия.</w:t>
            </w:r>
          </w:p>
          <w:p w14:paraId="668371BF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Заключение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изменение и расторжение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контракта.</w:t>
            </w:r>
          </w:p>
          <w:p w14:paraId="5BAF97FB" w14:textId="77777777" w:rsidR="00245170" w:rsidRPr="00F44D70" w:rsidRDefault="00245170" w:rsidP="0024517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контракта. Контракты жизненного цикла, типовые контракты и условия.</w:t>
            </w:r>
          </w:p>
          <w:p w14:paraId="53FE4761" w14:textId="36B99B22" w:rsidR="00B826CB" w:rsidRPr="00B826CB" w:rsidRDefault="00245170" w:rsidP="00B826CB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случаи изменения существенных условий контракта.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A667217" w14:textId="5EF28A7D" w:rsidR="00245170" w:rsidRPr="00B826CB" w:rsidRDefault="00B826CB" w:rsidP="00B826CB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 РФ №198 от 6.03.2015г. "Об утверждении Правил изменения по соглашению сторон срока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контракта, и(или )..."</w:t>
            </w:r>
          </w:p>
          <w:p w14:paraId="43B84FC8" w14:textId="77777777" w:rsidR="00A81FD0" w:rsidRDefault="00245170" w:rsidP="00A81FD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Расторжение контракта: по соглашению сторон, по решению суда, одностороннее. Основания, процедура и последствия одностороннего расторжения.</w:t>
            </w:r>
          </w:p>
          <w:p w14:paraId="01428913" w14:textId="77777777" w:rsidR="00A81FD0" w:rsidRDefault="00245170" w:rsidP="00A81FD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Отчетность по проведенным закупкам, реестр контрактов.</w:t>
            </w:r>
          </w:p>
          <w:p w14:paraId="28EC6AF1" w14:textId="59772F54" w:rsidR="00A81FD0" w:rsidRPr="00A81FD0" w:rsidRDefault="00A81FD0" w:rsidP="00A81FD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</w:t>
            </w:r>
            <w:r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№196 от 5.03.2015г. "О случаях и порядке предоставления заказчиком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году отсрочки..."</w:t>
            </w:r>
          </w:p>
        </w:tc>
      </w:tr>
      <w:tr w:rsidR="002D1D16" w:rsidRPr="00315F67" w14:paraId="7B86DBAC" w14:textId="77777777" w:rsidTr="004939B3">
        <w:trPr>
          <w:trHeight w:val="690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954E" w14:textId="789F4E8B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C8EC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</w:p>
        </w:tc>
      </w:tr>
      <w:tr w:rsidR="002D1D16" w:rsidRPr="00315F67" w14:paraId="09109308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62CC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91C21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Закупка у единственного поставщика</w:t>
            </w:r>
          </w:p>
          <w:p w14:paraId="1D28E6BF" w14:textId="77777777" w:rsidR="00245170" w:rsidRPr="00F44D70" w:rsidRDefault="00245170" w:rsidP="00245170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для проведения, ограничение и расчёт объёма закупок до 100 тыс. руб. и до 400 тыс. руб.</w:t>
            </w:r>
          </w:p>
          <w:p w14:paraId="4528EF2C" w14:textId="77777777" w:rsidR="00245170" w:rsidRPr="00F44D70" w:rsidRDefault="00245170" w:rsidP="00245170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обязательного привлечения экспертов, составления отчётов о невозможности и нецелесообразности использования иных способов, согласования с контрольным органом и уведомления контрольного органа.</w:t>
            </w:r>
          </w:p>
          <w:p w14:paraId="13C873D0" w14:textId="5A2C3F29" w:rsidR="004939B3" w:rsidRPr="004939B3" w:rsidRDefault="00245170" w:rsidP="004939B3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Особые требования к содержанию и форме контрактов.</w:t>
            </w:r>
            <w:bookmarkStart w:id="0" w:name="_GoBack"/>
            <w:bookmarkEnd w:id="0"/>
          </w:p>
          <w:p w14:paraId="2D5C4483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Запрос котировок</w:t>
            </w:r>
          </w:p>
          <w:p w14:paraId="47BD1EA5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проведения. Особые случаи проведения запроса котировок.</w:t>
            </w:r>
          </w:p>
          <w:p w14:paraId="3D4D7D9A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</w:t>
            </w:r>
          </w:p>
          <w:p w14:paraId="60D858BB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Правила подготовки и подачи заявок. Требования к форме и составу заявки. Разбор </w:t>
            </w: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примеров из практики и ошибок поставщиков.</w:t>
            </w:r>
          </w:p>
          <w:p w14:paraId="66D0EB54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Рассмотрение заявок.</w:t>
            </w:r>
          </w:p>
          <w:p w14:paraId="77E0D6D8" w14:textId="77777777" w:rsidR="002D1D16" w:rsidRDefault="00245170" w:rsidP="00245170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запроса котировок несостоявшимся.</w:t>
            </w:r>
          </w:p>
          <w:p w14:paraId="079F1ACD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Электронный аукцион.</w:t>
            </w:r>
          </w:p>
          <w:p w14:paraId="7DD3E789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проведения. «Аукционный перечень»</w:t>
            </w:r>
          </w:p>
          <w:p w14:paraId="45667465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Электронные торговые площадки. Использование ЭЦП, документооборот.</w:t>
            </w:r>
          </w:p>
          <w:p w14:paraId="068C29D3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Извещение и документация. </w:t>
            </w:r>
          </w:p>
          <w:p w14:paraId="4A2D430B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Аккредитация поставщика на ЭТП, требования к документам. </w:t>
            </w:r>
          </w:p>
          <w:p w14:paraId="4571CA19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Правила подачи заявок. Требования к составу заявки (первая и вторая части). Разбор примеров из практики и ошибок поставщиков.</w:t>
            </w:r>
          </w:p>
          <w:p w14:paraId="3962F766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Рассмотрение первых частей заявок. </w:t>
            </w:r>
          </w:p>
          <w:p w14:paraId="24B9E77D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Торги. Алгоритм проведения электронного аукциона на площадке. Отличия ЭТП в организации аукционного зала. </w:t>
            </w:r>
          </w:p>
          <w:p w14:paraId="0AF25B50" w14:textId="77777777" w:rsidR="002451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Рассмотрение вторых частей заявок.</w:t>
            </w:r>
          </w:p>
          <w:p w14:paraId="0EA5C8AF" w14:textId="77777777" w:rsidR="00245170" w:rsidRPr="002451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45170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электронного аукциона несостоявшимся.</w:t>
            </w:r>
          </w:p>
        </w:tc>
      </w:tr>
      <w:tr w:rsidR="002D1D16" w:rsidRPr="00315F67" w14:paraId="149CD762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48E3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020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2D1D16" w:rsidRPr="00315F67" w14:paraId="5DF26E52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F825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86F90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Открытый конкурс.</w:t>
            </w:r>
          </w:p>
          <w:p w14:paraId="581CE258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 и особенности процедуры.</w:t>
            </w:r>
          </w:p>
          <w:p w14:paraId="67242D8C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 Критерии оценки заявок.</w:t>
            </w:r>
          </w:p>
          <w:p w14:paraId="71F43D0E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Правила подачи конкурсных заявок. Требования к составу заявки. Разбор примеров из практики и ошибок поставщиков.</w:t>
            </w:r>
          </w:p>
          <w:p w14:paraId="41D74330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Рассмотрение и оценка заявок.  Пример оценки заявки по критериям. </w:t>
            </w:r>
          </w:p>
          <w:p w14:paraId="7A396113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Заключение контракта. Признание конкурса несостоявшимся.</w:t>
            </w:r>
          </w:p>
          <w:p w14:paraId="064E118A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iCs/>
              </w:rPr>
              <w:t>Конкурс с ограниченным участием и Двухэтапный конкурс.</w:t>
            </w:r>
          </w:p>
          <w:p w14:paraId="7C038384" w14:textId="77777777" w:rsidR="00245170" w:rsidRPr="00245170" w:rsidRDefault="00245170" w:rsidP="00245170">
            <w:pPr>
              <w:pStyle w:val="ab"/>
              <w:numPr>
                <w:ilvl w:val="0"/>
                <w:numId w:val="9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Основания для проведения. </w:t>
            </w:r>
          </w:p>
          <w:p w14:paraId="2DD95B7C" w14:textId="77777777" w:rsidR="00245170" w:rsidRPr="00245170" w:rsidRDefault="00245170" w:rsidP="00245170">
            <w:pPr>
              <w:pStyle w:val="ab"/>
              <w:numPr>
                <w:ilvl w:val="0"/>
                <w:numId w:val="9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проведения.</w:t>
            </w:r>
          </w:p>
          <w:p w14:paraId="069779B2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Запрос предложений</w:t>
            </w:r>
          </w:p>
          <w:p w14:paraId="7C244660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 и особенности процедуры.</w:t>
            </w:r>
          </w:p>
          <w:p w14:paraId="16ACD13B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 Критерии оценки заявок.</w:t>
            </w:r>
          </w:p>
          <w:p w14:paraId="7EE37DC0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Правила подачи заявок и окончательных предложений. Выставление требований к форме и составу заявки. </w:t>
            </w:r>
          </w:p>
          <w:p w14:paraId="785C2D3A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Заключение контракта. </w:t>
            </w:r>
          </w:p>
          <w:p w14:paraId="033FFB4A" w14:textId="77777777" w:rsidR="00245170" w:rsidRPr="00F44D70" w:rsidRDefault="00245170" w:rsidP="00245170">
            <w:pPr>
              <w:pStyle w:val="ab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48980B0B" w14:textId="77777777" w:rsidR="00245170" w:rsidRPr="00F44D70" w:rsidRDefault="00245170" w:rsidP="00245170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iCs/>
              </w:rPr>
              <w:t>Обжалование и контроль. Ответственность за нарушения</w:t>
            </w:r>
          </w:p>
          <w:p w14:paraId="0BEC7194" w14:textId="77777777" w:rsidR="00245170" w:rsidRDefault="00245170" w:rsidP="00245170">
            <w:pPr>
              <w:pStyle w:val="ab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органы.</w:t>
            </w:r>
          </w:p>
          <w:p w14:paraId="08CDF750" w14:textId="77777777" w:rsidR="00245170" w:rsidRDefault="00245170" w:rsidP="00245170">
            <w:pPr>
              <w:pStyle w:val="ab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жалобы (требования к срокам, 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рме, составу и способу подачи).</w:t>
            </w:r>
          </w:p>
          <w:p w14:paraId="6095628C" w14:textId="77777777" w:rsidR="00245170" w:rsidRPr="00245170" w:rsidRDefault="00245170" w:rsidP="00245170">
            <w:pPr>
              <w:pStyle w:val="ab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рассмотрения жалобы в ФАС.</w:t>
            </w:r>
          </w:p>
        </w:tc>
      </w:tr>
      <w:tr w:rsidR="002D1D16" w:rsidRPr="00F44D70" w14:paraId="2370AC16" w14:textId="77777777" w:rsidTr="004939B3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F3B59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– 17.30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48CF8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«Круглый стол» (ответы на вопросы).</w:t>
            </w:r>
          </w:p>
        </w:tc>
      </w:tr>
    </w:tbl>
    <w:p w14:paraId="34867EFE" w14:textId="77777777" w:rsidR="00FD7E73" w:rsidRDefault="002D1D16" w:rsidP="00245170">
      <w:pPr>
        <w:spacing w:after="0" w:line="360" w:lineRule="atLeast"/>
        <w:jc w:val="center"/>
      </w:pPr>
      <w:r w:rsidRPr="00315F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1254199" w14:textId="77777777" w:rsidR="00F76DA7" w:rsidRDefault="00F76DA7" w:rsidP="000C70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</w:pPr>
    </w:p>
    <w:p w14:paraId="7D524B18" w14:textId="77777777" w:rsidR="00F76DA7" w:rsidRDefault="00F76DA7" w:rsidP="000C70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</w:pPr>
    </w:p>
    <w:p w14:paraId="275777BB" w14:textId="4B76BFAB" w:rsidR="000C70A9" w:rsidRDefault="000C70A9" w:rsidP="000C70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  <w:t>Второй день</w:t>
      </w:r>
    </w:p>
    <w:p w14:paraId="1904CAB1" w14:textId="77777777" w:rsidR="000C70A9" w:rsidRDefault="000C70A9" w:rsidP="000C70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0C70A9" w:rsidRPr="00315F67" w14:paraId="30B15AAF" w14:textId="77777777" w:rsidTr="00324420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6A6F4" w14:textId="77777777" w:rsidR="000C70A9" w:rsidRPr="00315F67" w:rsidRDefault="000C70A9" w:rsidP="000C70A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FB721" w14:textId="77777777" w:rsidR="000C70A9" w:rsidRPr="00315F67" w:rsidRDefault="000C70A9" w:rsidP="000C70A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семинара</w:t>
            </w:r>
          </w:p>
        </w:tc>
      </w:tr>
      <w:tr w:rsidR="000C70A9" w:rsidRPr="00315F67" w14:paraId="03B4437A" w14:textId="77777777" w:rsidTr="00324420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0C26B" w14:textId="77777777" w:rsidR="000C70A9" w:rsidRPr="00315F67" w:rsidRDefault="000C70A9" w:rsidP="000C70A9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10.00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F4A5B" w14:textId="77777777" w:rsidR="000C70A9" w:rsidRPr="00315F67" w:rsidRDefault="000C70A9" w:rsidP="000C70A9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Регистрация участников семинара</w:t>
            </w:r>
          </w:p>
        </w:tc>
      </w:tr>
      <w:tr w:rsidR="000C70A9" w:rsidRPr="00315F67" w14:paraId="571325A8" w14:textId="77777777" w:rsidTr="00324420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D5E90" w14:textId="77777777" w:rsidR="000C70A9" w:rsidRPr="00315F67" w:rsidRDefault="000C70A9" w:rsidP="000C70A9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– 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A3B91" w14:textId="77777777" w:rsidR="000C70A9" w:rsidRDefault="000C70A9" w:rsidP="000C70A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работы на ЭТП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ZakazRf.ru</w:t>
            </w:r>
          </w:p>
          <w:p w14:paraId="435A7974" w14:textId="432E2F45" w:rsidR="000C70A9" w:rsidRPr="000C70A9" w:rsidRDefault="000C70A9" w:rsidP="00D749A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аккредитации на ЭТП (пакет документов для аккредитации, настройка рабочего места, использование ЭЦП)</w:t>
            </w:r>
          </w:p>
          <w:p w14:paraId="08158A81" w14:textId="77777777" w:rsidR="000C70A9" w:rsidRDefault="00D749A0" w:rsidP="00D749A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Публикация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извещения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проведении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электронного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аукциона</w:t>
            </w:r>
            <w:proofErr w:type="spellEnd"/>
          </w:p>
          <w:p w14:paraId="0A3CBC5E" w14:textId="421E936D" w:rsidR="00D749A0" w:rsidRPr="00D749A0" w:rsidRDefault="00D749A0" w:rsidP="00D749A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на участие (состав заявки и технические особенности подачи заявки)</w:t>
            </w:r>
          </w:p>
        </w:tc>
      </w:tr>
      <w:tr w:rsidR="000C70A9" w:rsidRPr="00315F67" w14:paraId="071CB31F" w14:textId="77777777" w:rsidTr="00324420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89120" w14:textId="00F21D94" w:rsidR="000C70A9" w:rsidRPr="00315F67" w:rsidRDefault="000C70A9" w:rsidP="000C70A9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42C1A" w14:textId="77777777" w:rsidR="000C70A9" w:rsidRPr="00315F67" w:rsidRDefault="000C70A9" w:rsidP="000C70A9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0C70A9" w:rsidRPr="00315F67" w14:paraId="357227C6" w14:textId="77777777" w:rsidTr="00324420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05F49" w14:textId="77777777" w:rsidR="000C70A9" w:rsidRPr="00315F67" w:rsidRDefault="000C70A9" w:rsidP="000C70A9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EE25D" w14:textId="77777777" w:rsidR="00D749A0" w:rsidRDefault="00D749A0" w:rsidP="00D749A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первых частей заявок</w:t>
            </w:r>
          </w:p>
          <w:p w14:paraId="2AD6749D" w14:textId="77777777" w:rsidR="00D749A0" w:rsidRDefault="00D749A0" w:rsidP="00D749A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процедуры торгов (предложения в шаге/вне шага аукциона, работа в аукционном зале, 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00446A81" w14:textId="77777777" w:rsidR="00D749A0" w:rsidRDefault="00D749A0" w:rsidP="00D749A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вторых частей заявок</w:t>
            </w:r>
          </w:p>
          <w:p w14:paraId="2C6B8FA3" w14:textId="238DF2AF" w:rsidR="00D749A0" w:rsidRPr="00D749A0" w:rsidRDefault="00D749A0" w:rsidP="00D749A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контракта (порядок составления протокола разногласий)</w:t>
            </w:r>
          </w:p>
        </w:tc>
      </w:tr>
      <w:tr w:rsidR="000C70A9" w:rsidRPr="00F44D70" w14:paraId="561DACB0" w14:textId="77777777" w:rsidTr="00324420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F60DD" w14:textId="5D154CDA" w:rsidR="000C70A9" w:rsidRPr="00F44D70" w:rsidRDefault="00D749A0" w:rsidP="000C70A9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 – 14.0</w:t>
            </w:r>
            <w:r w:rsidR="000C70A9"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3EFA7" w14:textId="77777777" w:rsidR="000C70A9" w:rsidRPr="00F44D70" w:rsidRDefault="000C70A9" w:rsidP="000C70A9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«Круглый стол» (ответы на вопросы).</w:t>
            </w:r>
          </w:p>
        </w:tc>
      </w:tr>
    </w:tbl>
    <w:p w14:paraId="6198FAB4" w14:textId="77777777" w:rsidR="000C70A9" w:rsidRDefault="000C70A9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</w:pPr>
    </w:p>
    <w:p w14:paraId="26C29630" w14:textId="77777777" w:rsidR="00AC6CAB" w:rsidRPr="00AD43DF" w:rsidRDefault="00AC6CAB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</w:pPr>
      <w:r w:rsidRPr="00AD43DF"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  <w:t>Условия участия</w:t>
      </w:r>
      <w:r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  <w:t>:</w:t>
      </w:r>
    </w:p>
    <w:p w14:paraId="6B4AC6B8" w14:textId="5D421C26" w:rsidR="00D749A0" w:rsidRPr="00324420" w:rsidRDefault="00AC6CAB" w:rsidP="00324420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244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Место проведения:</w:t>
      </w:r>
      <w:r w:rsidR="003244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г. Казань,</w:t>
      </w:r>
      <w:r w:rsidRPr="003244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749A0" w:rsidRPr="003244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НОУ ДПО "РИТЦ-</w:t>
      </w:r>
      <w:proofErr w:type="spellStart"/>
      <w:r w:rsidR="00D749A0" w:rsidRPr="003244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ПрофСтандарт</w:t>
      </w:r>
      <w:proofErr w:type="spellEnd"/>
      <w:r w:rsidR="00D749A0" w:rsidRPr="003244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", (ул. Волгоградская д.34)</w:t>
      </w:r>
    </w:p>
    <w:p w14:paraId="50105665" w14:textId="77777777" w:rsidR="00324420" w:rsidRPr="00324420" w:rsidRDefault="00AC6CAB" w:rsidP="00324420">
      <w:pPr>
        <w:pStyle w:val="aa"/>
        <w:rPr>
          <w:rFonts w:ascii="Times New Roman" w:hAnsi="Times New Roman" w:cs="Times New Roman"/>
          <w:sz w:val="24"/>
          <w:szCs w:val="24"/>
        </w:rPr>
      </w:pPr>
      <w:r w:rsidRPr="00324420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24420" w:rsidRPr="003244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8E0F3E" w14:textId="3819F9F7" w:rsidR="00324420" w:rsidRPr="00324420" w:rsidRDefault="00324420" w:rsidP="0032442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день: </w:t>
      </w:r>
      <w:r w:rsidRPr="00324420">
        <w:rPr>
          <w:rFonts w:ascii="Times New Roman" w:hAnsi="Times New Roman" w:cs="Times New Roman"/>
          <w:sz w:val="24"/>
          <w:szCs w:val="24"/>
        </w:rPr>
        <w:t>9:45 – 17:30</w:t>
      </w:r>
    </w:p>
    <w:p w14:paraId="459BAAB4" w14:textId="60F1979C" w:rsidR="00324420" w:rsidRPr="00324420" w:rsidRDefault="00324420" w:rsidP="00324420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Второй день: 9:45 – 14:00</w:t>
      </w:r>
    </w:p>
    <w:p w14:paraId="071244AB" w14:textId="537A4BB1" w:rsidR="00F277CF" w:rsidRDefault="00AC6CAB" w:rsidP="0032442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24420">
        <w:rPr>
          <w:rFonts w:ascii="Times New Roman" w:hAnsi="Times New Roman" w:cs="Times New Roman"/>
          <w:sz w:val="24"/>
          <w:szCs w:val="24"/>
          <w:lang w:eastAsia="ru-RU"/>
        </w:rPr>
        <w:t>Стоимость участия:</w:t>
      </w:r>
      <w:r w:rsidR="00F76DA7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Теоретическая часть (1 день) - </w:t>
      </w:r>
      <w:r w:rsidR="00F277CF" w:rsidRPr="00324420">
        <w:rPr>
          <w:rFonts w:ascii="Times New Roman" w:hAnsi="Times New Roman" w:cs="Times New Roman"/>
          <w:sz w:val="24"/>
          <w:szCs w:val="24"/>
          <w:lang w:eastAsia="ru-RU"/>
        </w:rPr>
        <w:t>7000 рублей.</w:t>
      </w:r>
    </w:p>
    <w:p w14:paraId="23C0335E" w14:textId="42FA9FF1" w:rsidR="00F76DA7" w:rsidRDefault="00F76DA7" w:rsidP="0032442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Практическая часть (2 день) -</w:t>
      </w:r>
      <w:r w:rsidR="00C4061C">
        <w:rPr>
          <w:rFonts w:ascii="Times New Roman" w:hAnsi="Times New Roman" w:cs="Times New Roman"/>
          <w:sz w:val="24"/>
          <w:szCs w:val="24"/>
          <w:lang w:eastAsia="ru-RU"/>
        </w:rPr>
        <w:t xml:space="preserve"> 60</w:t>
      </w:r>
      <w:r>
        <w:rPr>
          <w:rFonts w:ascii="Times New Roman" w:hAnsi="Times New Roman" w:cs="Times New Roman"/>
          <w:sz w:val="24"/>
          <w:szCs w:val="24"/>
          <w:lang w:eastAsia="ru-RU"/>
        </w:rPr>
        <w:t>00 рублей.</w:t>
      </w:r>
    </w:p>
    <w:p w14:paraId="4DAAFF6A" w14:textId="7F9121CF" w:rsidR="00F76DA7" w:rsidRPr="00324420" w:rsidRDefault="00C4061C" w:rsidP="0032442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Комплексный семинар: 12</w:t>
      </w:r>
      <w:r w:rsidR="00F76DA7">
        <w:rPr>
          <w:rFonts w:ascii="Times New Roman" w:hAnsi="Times New Roman" w:cs="Times New Roman"/>
          <w:sz w:val="24"/>
          <w:szCs w:val="24"/>
          <w:lang w:eastAsia="ru-RU"/>
        </w:rPr>
        <w:t>000 рублей.</w:t>
      </w:r>
    </w:p>
    <w:p w14:paraId="6F739DF6" w14:textId="77777777" w:rsidR="00AC6CAB" w:rsidRPr="00324420" w:rsidRDefault="00AC6CAB" w:rsidP="00324420">
      <w:pPr>
        <w:pStyle w:val="aa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 w:rsidRPr="0032442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 стоимость семинара также включены:</w:t>
      </w:r>
    </w:p>
    <w:p w14:paraId="417FE991" w14:textId="7F45529F" w:rsidR="00AC6CAB" w:rsidRPr="00324420" w:rsidRDefault="00F76DA7" w:rsidP="00324420">
      <w:pPr>
        <w:pStyle w:val="aa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- </w:t>
      </w:r>
      <w:r w:rsidR="00AC6CAB" w:rsidRPr="0032442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раздаточные материалы</w:t>
      </w:r>
      <w:r w:rsidR="00AC6CAB" w:rsidRPr="0032442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 w:rsidR="00AC6CAB" w:rsidRPr="0032442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 w:rsidR="00AC6CAB" w:rsidRPr="0032442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 w:rsidR="00AC6CAB" w:rsidRPr="0032442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 w:rsidR="00AC6CAB" w:rsidRPr="0032442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</w:p>
    <w:p w14:paraId="63303B9C" w14:textId="217FAD2D" w:rsidR="00AC6CAB" w:rsidRPr="00324420" w:rsidRDefault="00F76DA7" w:rsidP="0032442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- </w:t>
      </w:r>
      <w:r w:rsidR="00AC6CAB" w:rsidRPr="0032442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кофе-брейки и обеды</w:t>
      </w:r>
    </w:p>
    <w:p w14:paraId="4C6BCB01" w14:textId="3A23644D" w:rsidR="00AC6CAB" w:rsidRPr="00324420" w:rsidRDefault="00F76DA7" w:rsidP="0032442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- </w:t>
      </w:r>
      <w:r w:rsidR="00AC6CAB" w:rsidRPr="0032442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сертификат</w:t>
      </w:r>
    </w:p>
    <w:sectPr w:rsidR="00AC6CAB" w:rsidRPr="00324420" w:rsidSect="00FE47A6">
      <w:headerReference w:type="default" r:id="rId8"/>
      <w:footerReference w:type="default" r:id="rId9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CEA77" w14:textId="77777777" w:rsidR="009531F1" w:rsidRDefault="009531F1" w:rsidP="00BD74D2">
      <w:pPr>
        <w:spacing w:after="0" w:line="240" w:lineRule="auto"/>
      </w:pPr>
      <w:r>
        <w:separator/>
      </w:r>
    </w:p>
  </w:endnote>
  <w:endnote w:type="continuationSeparator" w:id="0">
    <w:p w14:paraId="24F372C8" w14:textId="77777777" w:rsidR="009531F1" w:rsidRDefault="009531F1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50CC7" w14:textId="77777777" w:rsidR="009531F1" w:rsidRDefault="009531F1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B6BE43" wp14:editId="18ADE96F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3777F567" w14:textId="77777777" w:rsidR="009531F1" w:rsidRPr="00483622" w:rsidRDefault="009531F1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100E325C" w14:textId="77777777" w:rsidR="009531F1" w:rsidRPr="00483622" w:rsidRDefault="009531F1" w:rsidP="00483622">
    <w:pPr>
      <w:pStyle w:val="a5"/>
      <w:jc w:val="center"/>
    </w:pPr>
    <w:hyperlink r:id="rId1" w:history="1">
      <w:r w:rsidRPr="00483622">
        <w:rPr>
          <w:rStyle w:val="a9"/>
          <w:rFonts w:ascii="Franklin Gothic Book" w:hAnsi="Franklin Gothic Book"/>
          <w:lang w:val="en-US"/>
        </w:rPr>
        <w:t>www</w:t>
      </w:r>
      <w:r w:rsidRPr="00483622">
        <w:rPr>
          <w:rStyle w:val="a9"/>
          <w:rFonts w:ascii="Franklin Gothic Book" w:hAnsi="Franklin Gothic Book"/>
        </w:rPr>
        <w:t>.</w:t>
      </w:r>
      <w:r w:rsidRPr="00483622">
        <w:rPr>
          <w:rStyle w:val="a9"/>
          <w:rFonts w:ascii="Franklin Gothic Book" w:hAnsi="Franklin Gothic Book"/>
          <w:lang w:val="en-US"/>
        </w:rPr>
        <w:t>formula</w:t>
      </w:r>
      <w:r w:rsidRPr="00483622">
        <w:rPr>
          <w:rStyle w:val="a9"/>
          <w:rFonts w:ascii="Franklin Gothic Book" w:hAnsi="Franklin Gothic Book"/>
        </w:rPr>
        <w:t>-</w:t>
      </w:r>
      <w:r w:rsidRPr="00483622">
        <w:rPr>
          <w:rStyle w:val="a9"/>
          <w:rFonts w:ascii="Franklin Gothic Book" w:hAnsi="Franklin Gothic Book"/>
          <w:lang w:val="en-US"/>
        </w:rPr>
        <w:t>zakupok</w:t>
      </w:r>
      <w:r w:rsidRPr="00483622">
        <w:rPr>
          <w:rStyle w:val="a9"/>
          <w:rFonts w:ascii="Franklin Gothic Book" w:hAnsi="Franklin Gothic Book"/>
        </w:rPr>
        <w:t>.</w:t>
      </w:r>
      <w:r w:rsidRPr="00483622">
        <w:rPr>
          <w:rStyle w:val="a9"/>
          <w:rFonts w:ascii="Franklin Gothic Book" w:hAnsi="Franklin Gothic Book"/>
          <w:lang w:val="en-US"/>
        </w:rPr>
        <w:t>com</w:t>
      </w:r>
    </w:hyperlink>
    <w:r w:rsidRPr="00483622">
      <w:rPr>
        <w:rFonts w:ascii="Franklin Gothic Book" w:hAnsi="Franklin Gothic Book"/>
      </w:rPr>
      <w:t xml:space="preserve">      /    +7(</w:t>
    </w:r>
    <w:proofErr w:type="gramStart"/>
    <w:r w:rsidRPr="00483622">
      <w:rPr>
        <w:rFonts w:ascii="Franklin Gothic Book" w:hAnsi="Franklin Gothic Book"/>
      </w:rPr>
      <w:t>831)283</w:t>
    </w:r>
    <w:proofErr w:type="gramEnd"/>
    <w:r w:rsidRPr="00483622">
      <w:rPr>
        <w:rFonts w:ascii="Franklin Gothic Book" w:hAnsi="Franklin Gothic Book"/>
      </w:rPr>
      <w:t xml:space="preserve">-53-44    /     </w:t>
    </w:r>
    <w:proofErr w:type="spellStart"/>
    <w:r w:rsidRPr="00483622">
      <w:rPr>
        <w:rFonts w:ascii="Franklin Gothic Book" w:hAnsi="Franklin Gothic Book"/>
        <w:lang w:val="en-US"/>
      </w:rPr>
      <w:t>formulazakupok</w:t>
    </w:r>
    <w:proofErr w:type="spellEnd"/>
    <w:r w:rsidRPr="00483622">
      <w:rPr>
        <w:rFonts w:ascii="Franklin Gothic Book" w:hAnsi="Franklin Gothic Book"/>
      </w:rPr>
      <w:t>@</w:t>
    </w:r>
    <w:r w:rsidRPr="00483622">
      <w:rPr>
        <w:rFonts w:ascii="Franklin Gothic Book" w:hAnsi="Franklin Gothic Book"/>
        <w:lang w:val="en-US"/>
      </w:rPr>
      <w:t>mail</w:t>
    </w:r>
    <w:r w:rsidRPr="00483622">
      <w:rPr>
        <w:rFonts w:ascii="Franklin Gothic Book" w:hAnsi="Franklin Gothic Book"/>
      </w:rPr>
      <w:t>.</w:t>
    </w:r>
    <w:proofErr w:type="spellStart"/>
    <w:r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7BE74" w14:textId="77777777" w:rsidR="009531F1" w:rsidRDefault="009531F1" w:rsidP="00BD74D2">
      <w:pPr>
        <w:spacing w:after="0" w:line="240" w:lineRule="auto"/>
      </w:pPr>
      <w:r>
        <w:separator/>
      </w:r>
    </w:p>
  </w:footnote>
  <w:footnote w:type="continuationSeparator" w:id="0">
    <w:p w14:paraId="0DEEEDCC" w14:textId="77777777" w:rsidR="009531F1" w:rsidRDefault="009531F1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3CA06" w14:textId="77777777" w:rsidR="009531F1" w:rsidRDefault="009531F1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64E36" wp14:editId="52B31DDF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DCCF4" wp14:editId="26FC82E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0F9AD" w14:textId="77777777" w:rsidR="009531F1" w:rsidRPr="00FD7E73" w:rsidRDefault="009531F1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6BD73E15" w14:textId="77777777" w:rsidR="009531F1" w:rsidRPr="00FD7E73" w:rsidRDefault="009531F1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3B759C79" w14:textId="77777777" w:rsidR="009531F1" w:rsidRPr="00FD7E73" w:rsidRDefault="009531F1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A0096B7" w14:textId="77777777" w:rsidR="009531F1" w:rsidRDefault="009531F1" w:rsidP="00FE47A6">
                          <w:pPr>
                            <w:spacing w:line="240" w:lineRule="auto"/>
                          </w:pPr>
                        </w:p>
                        <w:p w14:paraId="73A2AC44" w14:textId="77777777" w:rsidR="009531F1" w:rsidRPr="00B34B15" w:rsidRDefault="009531F1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62E0F9AD" w14:textId="77777777" w:rsidR="009531F1" w:rsidRPr="00FD7E73" w:rsidRDefault="009531F1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6BD73E15" w14:textId="77777777" w:rsidR="009531F1" w:rsidRPr="00FD7E73" w:rsidRDefault="009531F1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3B759C79" w14:textId="77777777" w:rsidR="009531F1" w:rsidRPr="00FD7E73" w:rsidRDefault="009531F1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A0096B7" w14:textId="77777777" w:rsidR="009531F1" w:rsidRDefault="009531F1" w:rsidP="00FE47A6">
                    <w:pPr>
                      <w:spacing w:line="240" w:lineRule="auto"/>
                    </w:pPr>
                  </w:p>
                  <w:p w14:paraId="73A2AC44" w14:textId="77777777" w:rsidR="009531F1" w:rsidRPr="00B34B15" w:rsidRDefault="009531F1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5F490" wp14:editId="70F417B2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DEA45" wp14:editId="65513467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4746E" w14:textId="77777777" w:rsidR="009531F1" w:rsidRPr="00FD7E73" w:rsidRDefault="009531F1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6A36FFC" w14:textId="77777777" w:rsidR="009531F1" w:rsidRPr="00FD7E73" w:rsidRDefault="009531F1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070BF017" w14:textId="77777777" w:rsidR="009531F1" w:rsidRDefault="009531F1" w:rsidP="00B34B15">
                          <w:pPr>
                            <w:spacing w:line="240" w:lineRule="auto"/>
                          </w:pPr>
                        </w:p>
                        <w:p w14:paraId="70065827" w14:textId="77777777" w:rsidR="009531F1" w:rsidRPr="00B34B15" w:rsidRDefault="009531F1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1874746E" w14:textId="77777777" w:rsidR="009531F1" w:rsidRPr="00FD7E73" w:rsidRDefault="009531F1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6A36FFC" w14:textId="77777777" w:rsidR="009531F1" w:rsidRPr="00FD7E73" w:rsidRDefault="009531F1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070BF017" w14:textId="77777777" w:rsidR="009531F1" w:rsidRDefault="009531F1" w:rsidP="00B34B15">
                    <w:pPr>
                      <w:spacing w:line="240" w:lineRule="auto"/>
                    </w:pPr>
                  </w:p>
                  <w:p w14:paraId="70065827" w14:textId="77777777" w:rsidR="009531F1" w:rsidRPr="00B34B15" w:rsidRDefault="009531F1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77543D5D" wp14:editId="75C312D7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9FE35" w14:textId="77777777" w:rsidR="009531F1" w:rsidRDefault="009531F1">
    <w:pPr>
      <w:pStyle w:val="a3"/>
      <w:rPr>
        <w:lang w:val="en-US"/>
      </w:rPr>
    </w:pPr>
  </w:p>
  <w:p w14:paraId="0749E94F" w14:textId="77777777" w:rsidR="009531F1" w:rsidRPr="00BD74D2" w:rsidRDefault="009531F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C03"/>
    <w:multiLevelType w:val="hybridMultilevel"/>
    <w:tmpl w:val="DDE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C70A9"/>
    <w:rsid w:val="00222BA2"/>
    <w:rsid w:val="00245170"/>
    <w:rsid w:val="0026182D"/>
    <w:rsid w:val="002D1D16"/>
    <w:rsid w:val="00324420"/>
    <w:rsid w:val="00387129"/>
    <w:rsid w:val="004503B1"/>
    <w:rsid w:val="00483622"/>
    <w:rsid w:val="004939B3"/>
    <w:rsid w:val="008B44B2"/>
    <w:rsid w:val="009531F1"/>
    <w:rsid w:val="00A135F1"/>
    <w:rsid w:val="00A81FD0"/>
    <w:rsid w:val="00AC6CAB"/>
    <w:rsid w:val="00B34B15"/>
    <w:rsid w:val="00B826CB"/>
    <w:rsid w:val="00BD74D2"/>
    <w:rsid w:val="00C4061C"/>
    <w:rsid w:val="00C45FCB"/>
    <w:rsid w:val="00C6694A"/>
    <w:rsid w:val="00D206A5"/>
    <w:rsid w:val="00D749A0"/>
    <w:rsid w:val="00DF0896"/>
    <w:rsid w:val="00E67AA0"/>
    <w:rsid w:val="00EC44C8"/>
    <w:rsid w:val="00EE11A6"/>
    <w:rsid w:val="00F277CF"/>
    <w:rsid w:val="00F76DA7"/>
    <w:rsid w:val="00FD7E73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99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1090</Words>
  <Characters>6219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10</cp:revision>
  <dcterms:created xsi:type="dcterms:W3CDTF">2015-04-13T09:29:00Z</dcterms:created>
  <dcterms:modified xsi:type="dcterms:W3CDTF">2015-04-28T19:06:00Z</dcterms:modified>
</cp:coreProperties>
</file>